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8F89A" w14:textId="06BC29F3" w:rsidR="00FA0DA3" w:rsidRDefault="00FA0DA3" w:rsidP="00FA0DA3">
      <w:pPr>
        <w:jc w:val="center"/>
        <w:rPr>
          <w:rFonts w:ascii="Arial" w:hAnsi="Arial" w:cs="Arial"/>
          <w:b/>
          <w:sz w:val="20"/>
          <w:szCs w:val="20"/>
          <w:lang w:val="en-US"/>
        </w:rPr>
      </w:pPr>
      <w:proofErr w:type="spellStart"/>
      <w:r w:rsidRPr="00FA0DA3">
        <w:rPr>
          <w:rFonts w:ascii="Arial" w:hAnsi="Arial" w:cs="Arial"/>
          <w:b/>
          <w:sz w:val="20"/>
          <w:szCs w:val="20"/>
          <w:lang w:val="en-US"/>
        </w:rPr>
        <w:t>Časový</w:t>
      </w:r>
      <w:proofErr w:type="spellEnd"/>
      <w:r w:rsidRPr="00FA0DA3">
        <w:rPr>
          <w:rFonts w:ascii="Arial" w:hAnsi="Arial" w:cs="Arial"/>
          <w:b/>
          <w:sz w:val="20"/>
          <w:szCs w:val="20"/>
          <w:lang w:val="en-US"/>
        </w:rPr>
        <w:t xml:space="preserve"> a </w:t>
      </w:r>
      <w:proofErr w:type="spellStart"/>
      <w:r w:rsidRPr="00FA0DA3">
        <w:rPr>
          <w:rFonts w:ascii="Arial" w:hAnsi="Arial" w:cs="Arial"/>
          <w:b/>
          <w:sz w:val="20"/>
          <w:szCs w:val="20"/>
          <w:lang w:val="en-US"/>
        </w:rPr>
        <w:t>finanční</w:t>
      </w:r>
      <w:proofErr w:type="spellEnd"/>
      <w:r w:rsidRPr="00FA0DA3">
        <w:rPr>
          <w:rFonts w:ascii="Arial" w:hAnsi="Arial" w:cs="Arial"/>
          <w:b/>
          <w:sz w:val="20"/>
          <w:szCs w:val="20"/>
          <w:lang w:val="en-US"/>
        </w:rPr>
        <w:t xml:space="preserve"> </w:t>
      </w:r>
      <w:proofErr w:type="spellStart"/>
      <w:r w:rsidRPr="00FA0DA3">
        <w:rPr>
          <w:rFonts w:ascii="Arial" w:hAnsi="Arial" w:cs="Arial"/>
          <w:b/>
          <w:sz w:val="20"/>
          <w:szCs w:val="20"/>
          <w:lang w:val="en-US"/>
        </w:rPr>
        <w:t>harmonogram</w:t>
      </w:r>
      <w:proofErr w:type="spellEnd"/>
      <w:r w:rsidRPr="00FA0DA3">
        <w:rPr>
          <w:rFonts w:ascii="Arial" w:hAnsi="Arial" w:cs="Arial"/>
          <w:b/>
          <w:sz w:val="20"/>
          <w:szCs w:val="20"/>
          <w:lang w:val="en-US"/>
        </w:rPr>
        <w:t xml:space="preserve"> a </w:t>
      </w:r>
      <w:proofErr w:type="spellStart"/>
      <w:r w:rsidRPr="00FA0DA3">
        <w:rPr>
          <w:rFonts w:ascii="Arial" w:hAnsi="Arial" w:cs="Arial"/>
          <w:b/>
          <w:sz w:val="20"/>
          <w:szCs w:val="20"/>
          <w:lang w:val="en-US"/>
        </w:rPr>
        <w:t>položkový</w:t>
      </w:r>
      <w:proofErr w:type="spellEnd"/>
      <w:r w:rsidRPr="00FA0DA3">
        <w:rPr>
          <w:rFonts w:ascii="Arial" w:hAnsi="Arial" w:cs="Arial"/>
          <w:b/>
          <w:sz w:val="20"/>
          <w:szCs w:val="20"/>
          <w:lang w:val="en-US"/>
        </w:rPr>
        <w:t xml:space="preserve"> </w:t>
      </w:r>
      <w:proofErr w:type="spellStart"/>
      <w:r w:rsidRPr="00FA0DA3">
        <w:rPr>
          <w:rFonts w:ascii="Arial" w:hAnsi="Arial" w:cs="Arial"/>
          <w:b/>
          <w:sz w:val="20"/>
          <w:szCs w:val="20"/>
          <w:lang w:val="en-US"/>
        </w:rPr>
        <w:t>rozpočet</w:t>
      </w:r>
      <w:proofErr w:type="spellEnd"/>
    </w:p>
    <w:p w14:paraId="0CDC9E93" w14:textId="77777777" w:rsidR="00FA0DA3" w:rsidRDefault="00FA0DA3" w:rsidP="007A46B6">
      <w:pPr>
        <w:rPr>
          <w:rFonts w:ascii="Arial" w:hAnsi="Arial" w:cs="Arial"/>
          <w:b/>
          <w:sz w:val="20"/>
          <w:szCs w:val="20"/>
          <w:lang w:val="en-US"/>
        </w:rPr>
      </w:pPr>
    </w:p>
    <w:p w14:paraId="058A041C" w14:textId="69B62CAB" w:rsidR="007A46B6" w:rsidRPr="00CD0637" w:rsidRDefault="007A46B6" w:rsidP="007A46B6">
      <w:pPr>
        <w:rPr>
          <w:rFonts w:ascii="Arial" w:hAnsi="Arial" w:cs="Arial"/>
          <w:sz w:val="20"/>
          <w:szCs w:val="20"/>
          <w:lang w:val="en-US"/>
        </w:rPr>
      </w:pPr>
      <w:proofErr w:type="spellStart"/>
      <w:r>
        <w:rPr>
          <w:rFonts w:ascii="Arial" w:hAnsi="Arial" w:cs="Arial"/>
          <w:sz w:val="20"/>
          <w:szCs w:val="20"/>
          <w:lang w:val="en-US"/>
        </w:rPr>
        <w:t>V</w:t>
      </w:r>
      <w:r w:rsidRPr="000616BA">
        <w:rPr>
          <w:rFonts w:ascii="Arial" w:hAnsi="Arial" w:cs="Arial"/>
          <w:sz w:val="20"/>
          <w:szCs w:val="20"/>
          <w:lang w:val="en-US"/>
        </w:rPr>
        <w:t>yplní</w:t>
      </w:r>
      <w:proofErr w:type="spellEnd"/>
      <w:r w:rsidRPr="000616BA">
        <w:rPr>
          <w:rFonts w:ascii="Arial" w:hAnsi="Arial" w:cs="Arial"/>
          <w:sz w:val="20"/>
          <w:szCs w:val="20"/>
          <w:lang w:val="en-US"/>
        </w:rPr>
        <w:t xml:space="preserve"> DODAVATEL</w:t>
      </w:r>
      <w:r>
        <w:rPr>
          <w:rFonts w:ascii="Arial" w:hAnsi="Arial" w:cs="Arial"/>
          <w:sz w:val="20"/>
          <w:szCs w:val="20"/>
          <w:lang w:val="en-US"/>
        </w:rPr>
        <w:t>:</w:t>
      </w:r>
    </w:p>
    <w:p w14:paraId="4AF13673" w14:textId="201BA0F9" w:rsidR="007A46B6" w:rsidRPr="00534158" w:rsidRDefault="007A46B6" w:rsidP="00534158">
      <w:pPr>
        <w:jc w:val="center"/>
        <w:rPr>
          <w:rFonts w:ascii="Arial" w:hAnsi="Arial" w:cs="Arial"/>
          <w:b/>
          <w:sz w:val="20"/>
          <w:szCs w:val="20"/>
          <w:lang w:val="en-US"/>
        </w:rPr>
      </w:pPr>
    </w:p>
    <w:tbl>
      <w:tblPr>
        <w:tblW w:w="14170" w:type="dxa"/>
        <w:tblCellMar>
          <w:left w:w="70" w:type="dxa"/>
          <w:right w:w="70" w:type="dxa"/>
        </w:tblCellMar>
        <w:tblLook w:val="04A0" w:firstRow="1" w:lastRow="0" w:firstColumn="1" w:lastColumn="0" w:noHBand="0" w:noVBand="1"/>
      </w:tblPr>
      <w:tblGrid>
        <w:gridCol w:w="6100"/>
        <w:gridCol w:w="1560"/>
        <w:gridCol w:w="840"/>
        <w:gridCol w:w="1500"/>
        <w:gridCol w:w="1477"/>
        <w:gridCol w:w="2693"/>
      </w:tblGrid>
      <w:tr w:rsidR="0086332F" w:rsidRPr="0086332F" w14:paraId="63DE8849" w14:textId="77777777" w:rsidTr="0086332F">
        <w:trPr>
          <w:trHeight w:val="1410"/>
        </w:trPr>
        <w:tc>
          <w:tcPr>
            <w:tcW w:w="6100" w:type="dxa"/>
            <w:tcBorders>
              <w:top w:val="single" w:sz="4" w:space="0" w:color="auto"/>
              <w:left w:val="single" w:sz="4" w:space="0" w:color="auto"/>
              <w:bottom w:val="single" w:sz="4" w:space="0" w:color="auto"/>
              <w:right w:val="dashed" w:sz="4" w:space="0" w:color="auto"/>
            </w:tcBorders>
            <w:shd w:val="clear" w:color="000000" w:fill="D9D9D9"/>
            <w:noWrap/>
            <w:vAlign w:val="bottom"/>
            <w:hideMark/>
          </w:tcPr>
          <w:p w14:paraId="044B3220" w14:textId="77E434F3" w:rsidR="0086332F" w:rsidRPr="0086332F" w:rsidRDefault="0086332F" w:rsidP="0086332F">
            <w:pPr>
              <w:rPr>
                <w:rFonts w:ascii="Calibri" w:hAnsi="Calibri" w:cs="Calibri"/>
                <w:b/>
                <w:bCs/>
                <w:i/>
                <w:iCs/>
                <w:color w:val="000000"/>
                <w:sz w:val="18"/>
                <w:szCs w:val="18"/>
                <w:lang w:val="cs-CZ"/>
              </w:rPr>
            </w:pPr>
            <w:r w:rsidRPr="0086332F">
              <w:rPr>
                <w:rFonts w:ascii="Calibri" w:hAnsi="Calibri" w:cs="Calibri"/>
                <w:b/>
                <w:bCs/>
                <w:i/>
                <w:iCs/>
                <w:color w:val="000000"/>
                <w:sz w:val="18"/>
                <w:szCs w:val="18"/>
                <w:lang w:val="cs-CZ"/>
              </w:rPr>
              <w:t>Položka</w:t>
            </w:r>
          </w:p>
        </w:tc>
        <w:tc>
          <w:tcPr>
            <w:tcW w:w="1560" w:type="dxa"/>
            <w:tcBorders>
              <w:top w:val="single" w:sz="4" w:space="0" w:color="auto"/>
              <w:left w:val="nil"/>
              <w:bottom w:val="single" w:sz="4" w:space="0" w:color="auto"/>
              <w:right w:val="dashed" w:sz="4" w:space="0" w:color="auto"/>
            </w:tcBorders>
            <w:shd w:val="clear" w:color="000000" w:fill="D9D9D9"/>
            <w:vAlign w:val="bottom"/>
            <w:hideMark/>
          </w:tcPr>
          <w:p w14:paraId="53CEB28A" w14:textId="08D0384E" w:rsidR="0086332F" w:rsidRPr="0086332F" w:rsidRDefault="0086332F" w:rsidP="0086332F">
            <w:pPr>
              <w:rPr>
                <w:rFonts w:ascii="Calibri" w:hAnsi="Calibri" w:cs="Calibri"/>
                <w:b/>
                <w:bCs/>
                <w:i/>
                <w:iCs/>
                <w:color w:val="000000"/>
                <w:sz w:val="18"/>
                <w:szCs w:val="18"/>
                <w:lang w:val="cs-CZ"/>
              </w:rPr>
            </w:pPr>
            <w:r w:rsidRPr="0086332F">
              <w:rPr>
                <w:rFonts w:ascii="Calibri" w:hAnsi="Calibri" w:cs="Calibri"/>
                <w:b/>
                <w:bCs/>
                <w:i/>
                <w:iCs/>
                <w:color w:val="000000"/>
                <w:sz w:val="18"/>
                <w:szCs w:val="18"/>
                <w:lang w:val="cs-CZ"/>
              </w:rPr>
              <w:t>Celková cena</w:t>
            </w:r>
          </w:p>
        </w:tc>
        <w:tc>
          <w:tcPr>
            <w:tcW w:w="840" w:type="dxa"/>
            <w:tcBorders>
              <w:top w:val="single" w:sz="4" w:space="0" w:color="auto"/>
              <w:left w:val="nil"/>
              <w:bottom w:val="single" w:sz="4" w:space="0" w:color="auto"/>
              <w:right w:val="dashed" w:sz="4" w:space="0" w:color="auto"/>
            </w:tcBorders>
            <w:shd w:val="clear" w:color="000000" w:fill="D9D9D9"/>
            <w:vAlign w:val="bottom"/>
            <w:hideMark/>
          </w:tcPr>
          <w:p w14:paraId="3BA44BD3" w14:textId="7EB06AAE" w:rsidR="0086332F" w:rsidRPr="0086332F" w:rsidRDefault="0086332F" w:rsidP="0086332F">
            <w:pPr>
              <w:rPr>
                <w:rFonts w:ascii="Calibri" w:hAnsi="Calibri" w:cs="Calibri"/>
                <w:b/>
                <w:bCs/>
                <w:i/>
                <w:iCs/>
                <w:color w:val="000000"/>
                <w:sz w:val="18"/>
                <w:szCs w:val="18"/>
                <w:lang w:val="cs-CZ"/>
              </w:rPr>
            </w:pPr>
            <w:r w:rsidRPr="0086332F">
              <w:rPr>
                <w:rFonts w:ascii="Calibri" w:hAnsi="Calibri" w:cs="Calibri"/>
                <w:b/>
                <w:bCs/>
                <w:i/>
                <w:iCs/>
                <w:color w:val="000000"/>
                <w:sz w:val="18"/>
                <w:szCs w:val="18"/>
                <w:lang w:val="cs-CZ"/>
              </w:rPr>
              <w:t>Trvání (týdny)</w:t>
            </w:r>
          </w:p>
        </w:tc>
        <w:tc>
          <w:tcPr>
            <w:tcW w:w="1500" w:type="dxa"/>
            <w:tcBorders>
              <w:top w:val="single" w:sz="4" w:space="0" w:color="auto"/>
              <w:left w:val="nil"/>
              <w:bottom w:val="single" w:sz="4" w:space="0" w:color="auto"/>
              <w:right w:val="dashed" w:sz="4" w:space="0" w:color="auto"/>
            </w:tcBorders>
            <w:shd w:val="clear" w:color="000000" w:fill="D9D9D9"/>
            <w:vAlign w:val="bottom"/>
            <w:hideMark/>
          </w:tcPr>
          <w:p w14:paraId="28FDA283" w14:textId="71499C35" w:rsidR="0086332F" w:rsidRPr="00E96A37" w:rsidRDefault="0086332F" w:rsidP="0086332F">
            <w:pPr>
              <w:rPr>
                <w:rFonts w:ascii="Calibri" w:hAnsi="Calibri" w:cs="Calibri"/>
                <w:b/>
                <w:bCs/>
                <w:i/>
                <w:iCs/>
                <w:sz w:val="18"/>
                <w:szCs w:val="18"/>
                <w:lang w:val="cs-CZ"/>
              </w:rPr>
            </w:pPr>
            <w:r w:rsidRPr="00E96A37">
              <w:rPr>
                <w:rFonts w:ascii="Calibri" w:hAnsi="Calibri" w:cs="Calibri"/>
                <w:b/>
                <w:bCs/>
                <w:i/>
                <w:iCs/>
                <w:sz w:val="18"/>
                <w:szCs w:val="18"/>
                <w:lang w:val="cs-CZ"/>
              </w:rPr>
              <w:t>Započetí od</w:t>
            </w:r>
            <w:r w:rsidR="00D32358" w:rsidRPr="00E96A37">
              <w:rPr>
                <w:rFonts w:ascii="Calibri" w:hAnsi="Calibri" w:cs="Calibri"/>
                <w:b/>
                <w:bCs/>
                <w:i/>
                <w:iCs/>
                <w:sz w:val="18"/>
                <w:szCs w:val="18"/>
                <w:lang w:val="cs-CZ"/>
              </w:rPr>
              <w:t xml:space="preserve"> </w:t>
            </w:r>
            <w:r w:rsidR="00D67883" w:rsidRPr="00E96A37">
              <w:rPr>
                <w:rFonts w:ascii="Calibri" w:hAnsi="Calibri" w:cs="Calibri"/>
                <w:b/>
                <w:bCs/>
                <w:i/>
                <w:iCs/>
                <w:sz w:val="18"/>
                <w:szCs w:val="18"/>
                <w:lang w:val="cs-CZ"/>
              </w:rPr>
              <w:t>výzvy zadavatele</w:t>
            </w:r>
            <w:r w:rsidRPr="00E96A37">
              <w:rPr>
                <w:rFonts w:ascii="Calibri" w:hAnsi="Calibri" w:cs="Calibri"/>
                <w:b/>
                <w:bCs/>
                <w:i/>
                <w:iCs/>
                <w:sz w:val="18"/>
                <w:szCs w:val="18"/>
                <w:lang w:val="cs-CZ"/>
              </w:rPr>
              <w:t xml:space="preserve"> (týdny) </w:t>
            </w:r>
          </w:p>
        </w:tc>
        <w:tc>
          <w:tcPr>
            <w:tcW w:w="1477" w:type="dxa"/>
            <w:tcBorders>
              <w:top w:val="single" w:sz="4" w:space="0" w:color="auto"/>
              <w:left w:val="nil"/>
              <w:bottom w:val="single" w:sz="4" w:space="0" w:color="auto"/>
              <w:right w:val="dashed" w:sz="4" w:space="0" w:color="auto"/>
            </w:tcBorders>
            <w:shd w:val="clear" w:color="000000" w:fill="D9D9D9"/>
            <w:vAlign w:val="bottom"/>
            <w:hideMark/>
          </w:tcPr>
          <w:p w14:paraId="255052A9" w14:textId="7DC3A78A" w:rsidR="0086332F" w:rsidRPr="00E96A37" w:rsidRDefault="0086332F" w:rsidP="0086332F">
            <w:pPr>
              <w:rPr>
                <w:rFonts w:ascii="Calibri" w:hAnsi="Calibri" w:cs="Calibri"/>
                <w:b/>
                <w:bCs/>
                <w:i/>
                <w:iCs/>
                <w:sz w:val="18"/>
                <w:szCs w:val="18"/>
                <w:lang w:val="cs-CZ"/>
              </w:rPr>
            </w:pPr>
            <w:r w:rsidRPr="00E96A37">
              <w:rPr>
                <w:rFonts w:ascii="Calibri" w:hAnsi="Calibri" w:cs="Calibri"/>
                <w:b/>
                <w:bCs/>
                <w:i/>
                <w:iCs/>
                <w:sz w:val="18"/>
                <w:szCs w:val="18"/>
                <w:lang w:val="cs-CZ"/>
              </w:rPr>
              <w:t xml:space="preserve">Dokončení od </w:t>
            </w:r>
            <w:r w:rsidR="00D67883" w:rsidRPr="00E96A37">
              <w:rPr>
                <w:rFonts w:ascii="Calibri" w:hAnsi="Calibri" w:cs="Calibri"/>
                <w:b/>
                <w:bCs/>
                <w:i/>
                <w:iCs/>
                <w:sz w:val="18"/>
                <w:szCs w:val="18"/>
                <w:lang w:val="cs-CZ"/>
              </w:rPr>
              <w:t xml:space="preserve">výzvy </w:t>
            </w:r>
            <w:proofErr w:type="gramStart"/>
            <w:r w:rsidR="00D67883" w:rsidRPr="00E96A37">
              <w:rPr>
                <w:rFonts w:ascii="Calibri" w:hAnsi="Calibri" w:cs="Calibri"/>
                <w:b/>
                <w:bCs/>
                <w:i/>
                <w:iCs/>
                <w:sz w:val="18"/>
                <w:szCs w:val="18"/>
                <w:lang w:val="cs-CZ"/>
              </w:rPr>
              <w:t xml:space="preserve">zadavatele </w:t>
            </w:r>
            <w:r w:rsidRPr="00E96A37">
              <w:rPr>
                <w:rFonts w:ascii="Calibri" w:hAnsi="Calibri" w:cs="Calibri"/>
                <w:b/>
                <w:bCs/>
                <w:i/>
                <w:iCs/>
                <w:sz w:val="18"/>
                <w:szCs w:val="18"/>
                <w:lang w:val="cs-CZ"/>
              </w:rPr>
              <w:t xml:space="preserve"> (</w:t>
            </w:r>
            <w:proofErr w:type="gramEnd"/>
            <w:r w:rsidRPr="00E96A37">
              <w:rPr>
                <w:rFonts w:ascii="Calibri" w:hAnsi="Calibri" w:cs="Calibri"/>
                <w:b/>
                <w:bCs/>
                <w:i/>
                <w:iCs/>
                <w:sz w:val="18"/>
                <w:szCs w:val="18"/>
                <w:lang w:val="cs-CZ"/>
              </w:rPr>
              <w:t>týdny)</w:t>
            </w:r>
          </w:p>
        </w:tc>
        <w:tc>
          <w:tcPr>
            <w:tcW w:w="2693" w:type="dxa"/>
            <w:tcBorders>
              <w:top w:val="single" w:sz="4" w:space="0" w:color="auto"/>
              <w:left w:val="nil"/>
              <w:bottom w:val="single" w:sz="4" w:space="0" w:color="auto"/>
              <w:right w:val="single" w:sz="4" w:space="0" w:color="auto"/>
            </w:tcBorders>
            <w:shd w:val="clear" w:color="000000" w:fill="D9D9D9"/>
            <w:vAlign w:val="bottom"/>
            <w:hideMark/>
          </w:tcPr>
          <w:p w14:paraId="157FD36C" w14:textId="7CDBC9EC" w:rsidR="0086332F" w:rsidRPr="0086332F" w:rsidRDefault="0086332F" w:rsidP="0086332F">
            <w:pPr>
              <w:rPr>
                <w:rFonts w:ascii="Calibri" w:hAnsi="Calibri" w:cs="Calibri"/>
                <w:b/>
                <w:bCs/>
                <w:i/>
                <w:iCs/>
                <w:color w:val="000000"/>
                <w:sz w:val="18"/>
                <w:szCs w:val="18"/>
                <w:lang w:val="cs-CZ"/>
              </w:rPr>
            </w:pPr>
            <w:r w:rsidRPr="0086332F">
              <w:rPr>
                <w:rFonts w:ascii="Calibri" w:hAnsi="Calibri" w:cs="Calibri"/>
                <w:b/>
                <w:bCs/>
                <w:i/>
                <w:iCs/>
                <w:color w:val="000000"/>
                <w:sz w:val="18"/>
                <w:szCs w:val="18"/>
                <w:lang w:val="cs-CZ"/>
              </w:rPr>
              <w:t xml:space="preserve">Navázání fakturace </w:t>
            </w:r>
          </w:p>
        </w:tc>
      </w:tr>
      <w:tr w:rsidR="0086332F" w:rsidRPr="0086332F" w14:paraId="10555052" w14:textId="77777777" w:rsidTr="0086332F">
        <w:trPr>
          <w:trHeight w:val="568"/>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6B1F3F3E"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t>Realizační dokumentace</w:t>
            </w:r>
          </w:p>
        </w:tc>
        <w:tc>
          <w:tcPr>
            <w:tcW w:w="156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28CA2EDA"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6F742873"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5640BA03"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0C2CF736"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val="restart"/>
            <w:tcBorders>
              <w:top w:val="nil"/>
              <w:left w:val="dashed" w:sz="4" w:space="0" w:color="auto"/>
              <w:bottom w:val="single" w:sz="4" w:space="0" w:color="000000"/>
              <w:right w:val="single" w:sz="4" w:space="0" w:color="auto"/>
            </w:tcBorders>
            <w:shd w:val="clear" w:color="auto" w:fill="auto"/>
            <w:vAlign w:val="bottom"/>
            <w:hideMark/>
          </w:tcPr>
          <w:p w14:paraId="3414783B" w14:textId="524BDB9B"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xml:space="preserve">Fakturace hodnoty dokumentace </w:t>
            </w:r>
            <w:bookmarkStart w:id="0" w:name="_GoBack"/>
            <w:r w:rsidRPr="00223DC4">
              <w:rPr>
                <w:rFonts w:ascii="Calibri" w:hAnsi="Calibri" w:cs="Calibri"/>
                <w:sz w:val="18"/>
                <w:szCs w:val="18"/>
                <w:lang w:val="cs-CZ"/>
              </w:rPr>
              <w:t xml:space="preserve">po odsouhlasení dokumentace zadavatelem </w:t>
            </w:r>
            <w:bookmarkEnd w:id="0"/>
          </w:p>
        </w:tc>
      </w:tr>
      <w:tr w:rsidR="0086332F" w:rsidRPr="0086332F" w14:paraId="6B4D48EB" w14:textId="77777777" w:rsidTr="0086332F">
        <w:trPr>
          <w:trHeight w:val="501"/>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33F707F2" w14:textId="1BAF2D6A"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vAlign w:val="center"/>
            <w:hideMark/>
          </w:tcPr>
          <w:p w14:paraId="26F8A48F"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2BCDCD07"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113F5F89"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4740C404"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1AAC9E9A" w14:textId="77777777" w:rsidR="0086332F" w:rsidRPr="0086332F" w:rsidRDefault="0086332F" w:rsidP="0086332F">
            <w:pPr>
              <w:rPr>
                <w:rFonts w:ascii="Calibri" w:hAnsi="Calibri" w:cs="Calibri"/>
                <w:color w:val="000000"/>
                <w:sz w:val="18"/>
                <w:szCs w:val="18"/>
                <w:lang w:val="cs-CZ"/>
              </w:rPr>
            </w:pPr>
          </w:p>
        </w:tc>
      </w:tr>
      <w:tr w:rsidR="0086332F" w:rsidRPr="0086332F" w14:paraId="4C6ECEFE" w14:textId="77777777" w:rsidTr="0086332F">
        <w:trPr>
          <w:trHeight w:val="285"/>
        </w:trPr>
        <w:tc>
          <w:tcPr>
            <w:tcW w:w="6100" w:type="dxa"/>
            <w:tcBorders>
              <w:top w:val="single" w:sz="4" w:space="0" w:color="auto"/>
              <w:left w:val="single" w:sz="4" w:space="0" w:color="auto"/>
              <w:bottom w:val="dashSmallGap" w:sz="4" w:space="0" w:color="auto"/>
              <w:right w:val="dashed" w:sz="4" w:space="0" w:color="auto"/>
            </w:tcBorders>
            <w:shd w:val="clear" w:color="auto" w:fill="auto"/>
            <w:noWrap/>
            <w:vAlign w:val="bottom"/>
            <w:hideMark/>
          </w:tcPr>
          <w:p w14:paraId="0EF34A72" w14:textId="7EF1BA9C" w:rsidR="0086332F" w:rsidRPr="0086332F" w:rsidRDefault="0086332F" w:rsidP="0086332F">
            <w:pPr>
              <w:rPr>
                <w:rFonts w:ascii="Calibri" w:hAnsi="Calibri" w:cs="Calibri"/>
                <w:color w:val="000000"/>
                <w:sz w:val="18"/>
                <w:szCs w:val="18"/>
                <w:lang w:val="cs-CZ"/>
              </w:rPr>
            </w:pPr>
            <w:r>
              <w:rPr>
                <w:rFonts w:ascii="Calibri" w:hAnsi="Calibri" w:cs="Calibri"/>
                <w:color w:val="000000"/>
                <w:sz w:val="18"/>
                <w:szCs w:val="18"/>
                <w:lang w:val="cs-CZ"/>
              </w:rPr>
              <w:t>Propagace – povinná publicita</w:t>
            </w:r>
          </w:p>
        </w:tc>
        <w:tc>
          <w:tcPr>
            <w:tcW w:w="156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267BC09F"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749958FE"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39F8022F"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7A788CED"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val="restart"/>
            <w:tcBorders>
              <w:top w:val="nil"/>
              <w:left w:val="dashed" w:sz="4" w:space="0" w:color="auto"/>
              <w:bottom w:val="single" w:sz="4" w:space="0" w:color="000000"/>
              <w:right w:val="single" w:sz="4" w:space="0" w:color="auto"/>
            </w:tcBorders>
            <w:shd w:val="clear" w:color="auto" w:fill="auto"/>
            <w:vAlign w:val="center"/>
            <w:hideMark/>
          </w:tcPr>
          <w:p w14:paraId="7DC367B7" w14:textId="371F9960"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xml:space="preserve">Fakturace dle skutečně dodaných a provedených prací na základě detailního položkového rozpočtu sestaveného dle realizační dokumentace. Maximální celková částka fakturace (včetně fakturace dokumentace) nepřesáhne 90% hodnoty. Četnost fakturace je jedna faktura měsíčně. </w:t>
            </w:r>
          </w:p>
        </w:tc>
      </w:tr>
      <w:tr w:rsidR="0086332F" w:rsidRPr="0086332F" w14:paraId="2A1144D6" w14:textId="77777777" w:rsidTr="0086332F">
        <w:trPr>
          <w:trHeight w:val="285"/>
        </w:trPr>
        <w:tc>
          <w:tcPr>
            <w:tcW w:w="6100" w:type="dxa"/>
            <w:tcBorders>
              <w:top w:val="dashSmallGap" w:sz="4" w:space="0" w:color="auto"/>
              <w:left w:val="single" w:sz="4" w:space="0" w:color="auto"/>
              <w:bottom w:val="single" w:sz="4" w:space="0" w:color="auto"/>
              <w:right w:val="dashed" w:sz="4" w:space="0" w:color="auto"/>
            </w:tcBorders>
            <w:shd w:val="clear" w:color="auto" w:fill="auto"/>
            <w:noWrap/>
            <w:vAlign w:val="bottom"/>
            <w:hideMark/>
          </w:tcPr>
          <w:p w14:paraId="5207B552" w14:textId="2A6E0CCF"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vAlign w:val="center"/>
            <w:hideMark/>
          </w:tcPr>
          <w:p w14:paraId="0CC3FCD5"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55C73C63"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576486F8"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469AAC3D"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36CE7953" w14:textId="77777777" w:rsidR="0086332F" w:rsidRPr="0086332F" w:rsidRDefault="0086332F" w:rsidP="0086332F">
            <w:pPr>
              <w:rPr>
                <w:rFonts w:ascii="Calibri" w:hAnsi="Calibri" w:cs="Calibri"/>
                <w:color w:val="000000"/>
                <w:sz w:val="18"/>
                <w:szCs w:val="18"/>
                <w:lang w:val="cs-CZ"/>
              </w:rPr>
            </w:pPr>
          </w:p>
        </w:tc>
      </w:tr>
      <w:tr w:rsidR="0086332F" w:rsidRPr="0086332F" w14:paraId="0EBF1566" w14:textId="77777777" w:rsidTr="0086332F">
        <w:trPr>
          <w:trHeight w:val="285"/>
        </w:trPr>
        <w:tc>
          <w:tcPr>
            <w:tcW w:w="6100" w:type="dxa"/>
            <w:tcBorders>
              <w:top w:val="single" w:sz="4" w:space="0" w:color="auto"/>
              <w:left w:val="single" w:sz="4" w:space="0" w:color="auto"/>
              <w:bottom w:val="dashed" w:sz="4" w:space="0" w:color="auto"/>
              <w:right w:val="dashed" w:sz="4" w:space="0" w:color="auto"/>
            </w:tcBorders>
            <w:shd w:val="clear" w:color="auto" w:fill="auto"/>
            <w:noWrap/>
            <w:vAlign w:val="bottom"/>
            <w:hideMark/>
          </w:tcPr>
          <w:p w14:paraId="738A9DDB"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t>Dodávka a montáž technologie odprášení pracoviště elektrické obloukové pece</w:t>
            </w:r>
          </w:p>
        </w:tc>
        <w:tc>
          <w:tcPr>
            <w:tcW w:w="156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27D6CBC7"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76545673"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1C856CB8"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45A89AE5"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704B2B0A" w14:textId="77777777" w:rsidR="0086332F" w:rsidRPr="0086332F" w:rsidRDefault="0086332F" w:rsidP="0086332F">
            <w:pPr>
              <w:rPr>
                <w:rFonts w:ascii="Calibri" w:hAnsi="Calibri" w:cs="Calibri"/>
                <w:color w:val="000000"/>
                <w:sz w:val="18"/>
                <w:szCs w:val="18"/>
                <w:lang w:val="cs-CZ"/>
              </w:rPr>
            </w:pPr>
          </w:p>
        </w:tc>
      </w:tr>
      <w:tr w:rsidR="0086332F" w:rsidRPr="0086332F" w14:paraId="47CBB302" w14:textId="77777777" w:rsidTr="0086332F">
        <w:trPr>
          <w:trHeight w:val="285"/>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53A499C8" w14:textId="5AEE17BF"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vAlign w:val="center"/>
            <w:hideMark/>
          </w:tcPr>
          <w:p w14:paraId="6CAC828B"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3118F620"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25A6E532"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0EB37227"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152F047C" w14:textId="77777777" w:rsidR="0086332F" w:rsidRPr="0086332F" w:rsidRDefault="0086332F" w:rsidP="0086332F">
            <w:pPr>
              <w:rPr>
                <w:rFonts w:ascii="Calibri" w:hAnsi="Calibri" w:cs="Calibri"/>
                <w:color w:val="000000"/>
                <w:sz w:val="18"/>
                <w:szCs w:val="18"/>
                <w:lang w:val="cs-CZ"/>
              </w:rPr>
            </w:pPr>
          </w:p>
        </w:tc>
      </w:tr>
      <w:tr w:rsidR="0086332F" w:rsidRPr="0086332F" w14:paraId="02DBB7B0" w14:textId="77777777" w:rsidTr="0086332F">
        <w:trPr>
          <w:trHeight w:val="285"/>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6C9F22C6"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t>Stavební úpravy pracoviště elektrických obloukových pecí</w:t>
            </w:r>
          </w:p>
        </w:tc>
        <w:tc>
          <w:tcPr>
            <w:tcW w:w="156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3005F7F9"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7006D09D"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507E09F9"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0E5187E0"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68D65DDC" w14:textId="77777777" w:rsidR="0086332F" w:rsidRPr="0086332F" w:rsidRDefault="0086332F" w:rsidP="0086332F">
            <w:pPr>
              <w:rPr>
                <w:rFonts w:ascii="Calibri" w:hAnsi="Calibri" w:cs="Calibri"/>
                <w:color w:val="000000"/>
                <w:sz w:val="18"/>
                <w:szCs w:val="18"/>
                <w:lang w:val="cs-CZ"/>
              </w:rPr>
            </w:pPr>
          </w:p>
        </w:tc>
      </w:tr>
      <w:tr w:rsidR="0086332F" w:rsidRPr="0086332F" w14:paraId="17BB0F01" w14:textId="77777777" w:rsidTr="0086332F">
        <w:trPr>
          <w:trHeight w:val="285"/>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42228A98" w14:textId="7B11DD37"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vAlign w:val="center"/>
            <w:hideMark/>
          </w:tcPr>
          <w:p w14:paraId="422BB0C7"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21299EAF"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54B951A0"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647D4DDA"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36207F29" w14:textId="77777777" w:rsidR="0086332F" w:rsidRPr="0086332F" w:rsidRDefault="0086332F" w:rsidP="0086332F">
            <w:pPr>
              <w:rPr>
                <w:rFonts w:ascii="Calibri" w:hAnsi="Calibri" w:cs="Calibri"/>
                <w:color w:val="000000"/>
                <w:sz w:val="18"/>
                <w:szCs w:val="18"/>
                <w:lang w:val="cs-CZ"/>
              </w:rPr>
            </w:pPr>
          </w:p>
        </w:tc>
      </w:tr>
      <w:tr w:rsidR="0086332F" w:rsidRPr="0086332F" w14:paraId="3F04EE6C" w14:textId="77777777" w:rsidTr="0086332F">
        <w:trPr>
          <w:trHeight w:val="285"/>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7E3B5B4C"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t>Dodávka a montáž technologie odprášení pracoviště vytloukacího roštu</w:t>
            </w:r>
          </w:p>
        </w:tc>
        <w:tc>
          <w:tcPr>
            <w:tcW w:w="156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462A6CD1"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649D71A7"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071E0ACF"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26915355"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3036BD32" w14:textId="77777777" w:rsidR="0086332F" w:rsidRPr="0086332F" w:rsidRDefault="0086332F" w:rsidP="0086332F">
            <w:pPr>
              <w:rPr>
                <w:rFonts w:ascii="Calibri" w:hAnsi="Calibri" w:cs="Calibri"/>
                <w:color w:val="000000"/>
                <w:sz w:val="18"/>
                <w:szCs w:val="18"/>
                <w:lang w:val="cs-CZ"/>
              </w:rPr>
            </w:pPr>
          </w:p>
        </w:tc>
      </w:tr>
      <w:tr w:rsidR="0086332F" w:rsidRPr="0086332F" w14:paraId="02F90C90" w14:textId="77777777" w:rsidTr="0086332F">
        <w:trPr>
          <w:trHeight w:val="285"/>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3B3B751C" w14:textId="77607738"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vAlign w:val="center"/>
            <w:hideMark/>
          </w:tcPr>
          <w:p w14:paraId="73087EC6"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27F45656"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63A0E400"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2E57CE22"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798BCB09" w14:textId="77777777" w:rsidR="0086332F" w:rsidRPr="0086332F" w:rsidRDefault="0086332F" w:rsidP="0086332F">
            <w:pPr>
              <w:rPr>
                <w:rFonts w:ascii="Calibri" w:hAnsi="Calibri" w:cs="Calibri"/>
                <w:color w:val="000000"/>
                <w:sz w:val="18"/>
                <w:szCs w:val="18"/>
                <w:lang w:val="cs-CZ"/>
              </w:rPr>
            </w:pPr>
          </w:p>
        </w:tc>
      </w:tr>
      <w:tr w:rsidR="0086332F" w:rsidRPr="0086332F" w14:paraId="689265D6" w14:textId="77777777" w:rsidTr="0086332F">
        <w:trPr>
          <w:trHeight w:val="285"/>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2763A032"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t>Stavební úpravy pracoviště vytloukacího roštu</w:t>
            </w:r>
          </w:p>
        </w:tc>
        <w:tc>
          <w:tcPr>
            <w:tcW w:w="156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34055444"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4B7E84BA"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4FB6AD1C"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2E1BE756"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7F8691C0" w14:textId="77777777" w:rsidR="0086332F" w:rsidRPr="0086332F" w:rsidRDefault="0086332F" w:rsidP="0086332F">
            <w:pPr>
              <w:rPr>
                <w:rFonts w:ascii="Calibri" w:hAnsi="Calibri" w:cs="Calibri"/>
                <w:color w:val="000000"/>
                <w:sz w:val="18"/>
                <w:szCs w:val="18"/>
                <w:lang w:val="cs-CZ"/>
              </w:rPr>
            </w:pPr>
          </w:p>
        </w:tc>
      </w:tr>
      <w:tr w:rsidR="0086332F" w:rsidRPr="0086332F" w14:paraId="5DB5B1E0" w14:textId="77777777" w:rsidTr="0086332F">
        <w:trPr>
          <w:trHeight w:val="285"/>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5359C2F2" w14:textId="4ACAA371"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vAlign w:val="center"/>
            <w:hideMark/>
          </w:tcPr>
          <w:p w14:paraId="35988F96"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38C946E2"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1CB11A54"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514BD444"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651B270B" w14:textId="77777777" w:rsidR="0086332F" w:rsidRPr="0086332F" w:rsidRDefault="0086332F" w:rsidP="0086332F">
            <w:pPr>
              <w:rPr>
                <w:rFonts w:ascii="Calibri" w:hAnsi="Calibri" w:cs="Calibri"/>
                <w:color w:val="000000"/>
                <w:sz w:val="18"/>
                <w:szCs w:val="18"/>
                <w:lang w:val="cs-CZ"/>
              </w:rPr>
            </w:pPr>
          </w:p>
        </w:tc>
      </w:tr>
      <w:tr w:rsidR="0086332F" w:rsidRPr="0086332F" w14:paraId="5A50B9BB" w14:textId="77777777" w:rsidTr="0086332F">
        <w:trPr>
          <w:trHeight w:val="285"/>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1E75D943"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t>Dodávka a montáž potrubních rozvodů</w:t>
            </w:r>
          </w:p>
        </w:tc>
        <w:tc>
          <w:tcPr>
            <w:tcW w:w="156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2A1C8E9F"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249834D8"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7E2FF617"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1100D655"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682B25A9" w14:textId="77777777" w:rsidR="0086332F" w:rsidRPr="0086332F" w:rsidRDefault="0086332F" w:rsidP="0086332F">
            <w:pPr>
              <w:rPr>
                <w:rFonts w:ascii="Calibri" w:hAnsi="Calibri" w:cs="Calibri"/>
                <w:color w:val="000000"/>
                <w:sz w:val="18"/>
                <w:szCs w:val="18"/>
                <w:lang w:val="cs-CZ"/>
              </w:rPr>
            </w:pPr>
          </w:p>
        </w:tc>
      </w:tr>
      <w:tr w:rsidR="0086332F" w:rsidRPr="0086332F" w14:paraId="78DA931A" w14:textId="77777777" w:rsidTr="0086332F">
        <w:trPr>
          <w:trHeight w:val="285"/>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65F22601" w14:textId="5AED08E1"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vAlign w:val="center"/>
            <w:hideMark/>
          </w:tcPr>
          <w:p w14:paraId="15A8E3DC"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0B3A2D31"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51E4621A"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41946D37"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762EB4CA" w14:textId="77777777" w:rsidR="0086332F" w:rsidRPr="0086332F" w:rsidRDefault="0086332F" w:rsidP="0086332F">
            <w:pPr>
              <w:rPr>
                <w:rFonts w:ascii="Calibri" w:hAnsi="Calibri" w:cs="Calibri"/>
                <w:color w:val="000000"/>
                <w:sz w:val="18"/>
                <w:szCs w:val="18"/>
                <w:lang w:val="cs-CZ"/>
              </w:rPr>
            </w:pPr>
          </w:p>
        </w:tc>
      </w:tr>
      <w:tr w:rsidR="0086332F" w:rsidRPr="0086332F" w14:paraId="62F57614" w14:textId="77777777" w:rsidTr="0086332F">
        <w:trPr>
          <w:trHeight w:val="285"/>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744A5809"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t>Dodávka a montáž provozních silnoproudých rozvodů</w:t>
            </w:r>
          </w:p>
        </w:tc>
        <w:tc>
          <w:tcPr>
            <w:tcW w:w="156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63203A64"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666D0889"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7FED536C"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4EA64667"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5BE7B41C" w14:textId="77777777" w:rsidR="0086332F" w:rsidRPr="0086332F" w:rsidRDefault="0086332F" w:rsidP="0086332F">
            <w:pPr>
              <w:rPr>
                <w:rFonts w:ascii="Calibri" w:hAnsi="Calibri" w:cs="Calibri"/>
                <w:color w:val="000000"/>
                <w:sz w:val="18"/>
                <w:szCs w:val="18"/>
                <w:lang w:val="cs-CZ"/>
              </w:rPr>
            </w:pPr>
          </w:p>
        </w:tc>
      </w:tr>
      <w:tr w:rsidR="0086332F" w:rsidRPr="0086332F" w14:paraId="7F5AB028" w14:textId="77777777" w:rsidTr="0086332F">
        <w:trPr>
          <w:trHeight w:val="285"/>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7DBFCA48" w14:textId="527A8FFB"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vAlign w:val="center"/>
            <w:hideMark/>
          </w:tcPr>
          <w:p w14:paraId="41C03760"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0619243D"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0D8FDAC8"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62C8DAFC"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4E85D574" w14:textId="77777777" w:rsidR="0086332F" w:rsidRPr="0086332F" w:rsidRDefault="0086332F" w:rsidP="0086332F">
            <w:pPr>
              <w:rPr>
                <w:rFonts w:ascii="Calibri" w:hAnsi="Calibri" w:cs="Calibri"/>
                <w:color w:val="000000"/>
                <w:sz w:val="18"/>
                <w:szCs w:val="18"/>
                <w:lang w:val="cs-CZ"/>
              </w:rPr>
            </w:pPr>
          </w:p>
        </w:tc>
      </w:tr>
      <w:tr w:rsidR="0086332F" w:rsidRPr="0086332F" w14:paraId="13C9F520" w14:textId="77777777" w:rsidTr="0086332F">
        <w:trPr>
          <w:trHeight w:val="285"/>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5524F9BF"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t>Dodávka a montáž měření a regulace, automatizace</w:t>
            </w:r>
          </w:p>
        </w:tc>
        <w:tc>
          <w:tcPr>
            <w:tcW w:w="156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068E011D"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10CD5828"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30BBA6DC"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29FD25D5"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6FA12309" w14:textId="77777777" w:rsidR="0086332F" w:rsidRPr="0086332F" w:rsidRDefault="0086332F" w:rsidP="0086332F">
            <w:pPr>
              <w:rPr>
                <w:rFonts w:ascii="Calibri" w:hAnsi="Calibri" w:cs="Calibri"/>
                <w:color w:val="000000"/>
                <w:sz w:val="18"/>
                <w:szCs w:val="18"/>
                <w:lang w:val="cs-CZ"/>
              </w:rPr>
            </w:pPr>
          </w:p>
        </w:tc>
      </w:tr>
      <w:tr w:rsidR="0086332F" w:rsidRPr="0086332F" w14:paraId="547B8BCD" w14:textId="77777777" w:rsidTr="0086332F">
        <w:trPr>
          <w:trHeight w:val="285"/>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45CD92FC" w14:textId="42F26DC5"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vAlign w:val="center"/>
            <w:hideMark/>
          </w:tcPr>
          <w:p w14:paraId="7A8C9686"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7E778FBB"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4BD1FF48"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523B3ADB"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454DCB42" w14:textId="77777777" w:rsidR="0086332F" w:rsidRPr="0086332F" w:rsidRDefault="0086332F" w:rsidP="0086332F">
            <w:pPr>
              <w:rPr>
                <w:rFonts w:ascii="Calibri" w:hAnsi="Calibri" w:cs="Calibri"/>
                <w:color w:val="000000"/>
                <w:sz w:val="18"/>
                <w:szCs w:val="18"/>
                <w:lang w:val="cs-CZ"/>
              </w:rPr>
            </w:pPr>
          </w:p>
        </w:tc>
      </w:tr>
      <w:tr w:rsidR="0086332F" w:rsidRPr="0086332F" w14:paraId="6955022B" w14:textId="77777777" w:rsidTr="0086332F">
        <w:trPr>
          <w:trHeight w:val="285"/>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22AF15BC"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t>Přeložky a demontáže</w:t>
            </w:r>
          </w:p>
        </w:tc>
        <w:tc>
          <w:tcPr>
            <w:tcW w:w="156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31E1941B"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35FB9C3D"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10A58E21"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3A4A43C8"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4E17278C" w14:textId="77777777" w:rsidR="0086332F" w:rsidRPr="0086332F" w:rsidRDefault="0086332F" w:rsidP="0086332F">
            <w:pPr>
              <w:rPr>
                <w:rFonts w:ascii="Calibri" w:hAnsi="Calibri" w:cs="Calibri"/>
                <w:color w:val="000000"/>
                <w:sz w:val="18"/>
                <w:szCs w:val="18"/>
                <w:lang w:val="cs-CZ"/>
              </w:rPr>
            </w:pPr>
          </w:p>
        </w:tc>
      </w:tr>
      <w:tr w:rsidR="0086332F" w:rsidRPr="0086332F" w14:paraId="77985D49" w14:textId="77777777" w:rsidTr="0086332F">
        <w:trPr>
          <w:trHeight w:val="556"/>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7D41236E" w14:textId="6969F362"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vAlign w:val="center"/>
            <w:hideMark/>
          </w:tcPr>
          <w:p w14:paraId="46F91DCF"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5DF968F0"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443B97C1"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3D39956A"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6525D63A" w14:textId="77777777" w:rsidR="0086332F" w:rsidRPr="0086332F" w:rsidRDefault="0086332F" w:rsidP="0086332F">
            <w:pPr>
              <w:rPr>
                <w:rFonts w:ascii="Calibri" w:hAnsi="Calibri" w:cs="Calibri"/>
                <w:color w:val="000000"/>
                <w:sz w:val="18"/>
                <w:szCs w:val="18"/>
                <w:lang w:val="cs-CZ"/>
              </w:rPr>
            </w:pPr>
          </w:p>
        </w:tc>
      </w:tr>
      <w:tr w:rsidR="0086332F" w:rsidRPr="0086332F" w14:paraId="3EE2506B" w14:textId="77777777" w:rsidTr="0086332F">
        <w:trPr>
          <w:trHeight w:val="300"/>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2B3FC124"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lastRenderedPageBreak/>
              <w:t>Individuální a komplexní zkoušky, zaškolení obsluhy</w:t>
            </w:r>
          </w:p>
        </w:tc>
        <w:tc>
          <w:tcPr>
            <w:tcW w:w="156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47E1533A"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2A42A70C"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5A0F3C11"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158047AC"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val="restart"/>
            <w:tcBorders>
              <w:top w:val="nil"/>
              <w:left w:val="dashed" w:sz="4" w:space="0" w:color="auto"/>
              <w:bottom w:val="single" w:sz="4" w:space="0" w:color="000000"/>
              <w:right w:val="single" w:sz="4" w:space="0" w:color="auto"/>
            </w:tcBorders>
            <w:shd w:val="clear" w:color="auto" w:fill="auto"/>
            <w:vAlign w:val="center"/>
            <w:hideMark/>
          </w:tcPr>
          <w:p w14:paraId="754A4FBF" w14:textId="3215D96E"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xml:space="preserve">Fakturace </w:t>
            </w:r>
            <w:proofErr w:type="gramStart"/>
            <w:r w:rsidRPr="0086332F">
              <w:rPr>
                <w:rFonts w:ascii="Calibri" w:hAnsi="Calibri" w:cs="Calibri"/>
                <w:color w:val="000000"/>
                <w:sz w:val="18"/>
                <w:szCs w:val="18"/>
                <w:lang w:val="cs-CZ"/>
              </w:rPr>
              <w:t>10%</w:t>
            </w:r>
            <w:proofErr w:type="gramEnd"/>
            <w:r w:rsidRPr="0086332F">
              <w:rPr>
                <w:rFonts w:ascii="Calibri" w:hAnsi="Calibri" w:cs="Calibri"/>
                <w:color w:val="000000"/>
                <w:sz w:val="18"/>
                <w:szCs w:val="18"/>
                <w:lang w:val="cs-CZ"/>
              </w:rPr>
              <w:t xml:space="preserve"> po dokončení testů, předání díla, předání dokumentace skutečného stavu a vystavení záruční bankovní záruky</w:t>
            </w:r>
            <w:r w:rsidR="007A26BE">
              <w:rPr>
                <w:rFonts w:ascii="Calibri" w:hAnsi="Calibri" w:cs="Calibri"/>
                <w:color w:val="000000"/>
                <w:sz w:val="18"/>
                <w:szCs w:val="18"/>
                <w:lang w:val="cs-CZ"/>
              </w:rPr>
              <w:t xml:space="preserve"> za záruční dobu</w:t>
            </w:r>
            <w:r w:rsidRPr="0086332F">
              <w:rPr>
                <w:rFonts w:ascii="Calibri" w:hAnsi="Calibri" w:cs="Calibri"/>
                <w:color w:val="000000"/>
                <w:sz w:val="18"/>
                <w:szCs w:val="18"/>
                <w:lang w:val="cs-CZ"/>
              </w:rPr>
              <w:t xml:space="preserve"> v hodnotě </w:t>
            </w:r>
            <w:r w:rsidR="007A26BE">
              <w:rPr>
                <w:rFonts w:ascii="Calibri" w:hAnsi="Calibri" w:cs="Calibri"/>
                <w:color w:val="000000"/>
                <w:sz w:val="18"/>
                <w:szCs w:val="18"/>
                <w:lang w:val="cs-CZ"/>
              </w:rPr>
              <w:t>5</w:t>
            </w:r>
            <w:r w:rsidRPr="0086332F">
              <w:rPr>
                <w:rFonts w:ascii="Calibri" w:hAnsi="Calibri" w:cs="Calibri"/>
                <w:color w:val="000000"/>
                <w:sz w:val="18"/>
                <w:szCs w:val="18"/>
                <w:lang w:val="cs-CZ"/>
              </w:rPr>
              <w:t>% z ceny díla</w:t>
            </w:r>
            <w:r w:rsidRPr="0086332F">
              <w:rPr>
                <w:rFonts w:ascii="Calibri" w:hAnsi="Calibri" w:cs="Calibri"/>
                <w:color w:val="000000"/>
                <w:sz w:val="18"/>
                <w:szCs w:val="18"/>
                <w:lang w:val="cs-CZ"/>
              </w:rPr>
              <w:br/>
            </w:r>
          </w:p>
        </w:tc>
      </w:tr>
      <w:tr w:rsidR="0086332F" w:rsidRPr="0086332F" w14:paraId="49E07655" w14:textId="77777777" w:rsidTr="0086332F">
        <w:trPr>
          <w:trHeight w:val="300"/>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0B33E06E" w14:textId="0B43209D"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vAlign w:val="center"/>
            <w:hideMark/>
          </w:tcPr>
          <w:p w14:paraId="6035A158"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047B8E74"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1314B7AF"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1CD76940"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0EED8A54" w14:textId="77777777" w:rsidR="0086332F" w:rsidRPr="0086332F" w:rsidRDefault="0086332F" w:rsidP="0086332F">
            <w:pPr>
              <w:rPr>
                <w:rFonts w:ascii="Calibri" w:hAnsi="Calibri" w:cs="Calibri"/>
                <w:color w:val="000000"/>
                <w:sz w:val="18"/>
                <w:szCs w:val="18"/>
                <w:lang w:val="cs-CZ"/>
              </w:rPr>
            </w:pPr>
          </w:p>
        </w:tc>
      </w:tr>
      <w:tr w:rsidR="0086332F" w:rsidRPr="0086332F" w14:paraId="3634EBE7" w14:textId="77777777" w:rsidTr="0086332F">
        <w:trPr>
          <w:trHeight w:val="300"/>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43286F19"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t>Garanční zkoušky a zkušební provoz</w:t>
            </w:r>
          </w:p>
        </w:tc>
        <w:tc>
          <w:tcPr>
            <w:tcW w:w="156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013AF238"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4D6B038B"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1D73C3FD"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7D3293B4"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18595595" w14:textId="77777777" w:rsidR="0086332F" w:rsidRPr="0086332F" w:rsidRDefault="0086332F" w:rsidP="0086332F">
            <w:pPr>
              <w:rPr>
                <w:rFonts w:ascii="Calibri" w:hAnsi="Calibri" w:cs="Calibri"/>
                <w:color w:val="000000"/>
                <w:sz w:val="18"/>
                <w:szCs w:val="18"/>
                <w:lang w:val="cs-CZ"/>
              </w:rPr>
            </w:pPr>
          </w:p>
        </w:tc>
      </w:tr>
      <w:tr w:rsidR="0086332F" w:rsidRPr="0086332F" w14:paraId="2740CFBD" w14:textId="77777777" w:rsidTr="0086332F">
        <w:trPr>
          <w:trHeight w:val="300"/>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274ACE4B" w14:textId="2946DDBC"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vAlign w:val="center"/>
            <w:hideMark/>
          </w:tcPr>
          <w:p w14:paraId="7BD8D0C2"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47CDA78D"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37A1967A"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4D16A062"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7813B62D" w14:textId="77777777" w:rsidR="0086332F" w:rsidRPr="0086332F" w:rsidRDefault="0086332F" w:rsidP="0086332F">
            <w:pPr>
              <w:rPr>
                <w:rFonts w:ascii="Calibri" w:hAnsi="Calibri" w:cs="Calibri"/>
                <w:color w:val="000000"/>
                <w:sz w:val="18"/>
                <w:szCs w:val="18"/>
                <w:lang w:val="cs-CZ"/>
              </w:rPr>
            </w:pPr>
          </w:p>
        </w:tc>
      </w:tr>
      <w:tr w:rsidR="0086332F" w:rsidRPr="0086332F" w14:paraId="3827C8A4" w14:textId="77777777" w:rsidTr="0086332F">
        <w:trPr>
          <w:trHeight w:val="300"/>
        </w:trPr>
        <w:tc>
          <w:tcPr>
            <w:tcW w:w="6100" w:type="dxa"/>
            <w:tcBorders>
              <w:top w:val="nil"/>
              <w:left w:val="single" w:sz="4" w:space="0" w:color="auto"/>
              <w:bottom w:val="dashed" w:sz="4" w:space="0" w:color="auto"/>
              <w:right w:val="dashed" w:sz="4" w:space="0" w:color="auto"/>
            </w:tcBorders>
            <w:shd w:val="clear" w:color="auto" w:fill="auto"/>
            <w:noWrap/>
            <w:vAlign w:val="bottom"/>
            <w:hideMark/>
          </w:tcPr>
          <w:p w14:paraId="7C6E5501" w14:textId="77777777" w:rsidR="0086332F" w:rsidRPr="0086332F" w:rsidRDefault="0086332F" w:rsidP="0086332F">
            <w:pPr>
              <w:rPr>
                <w:rFonts w:ascii="Calibri" w:hAnsi="Calibri" w:cs="Calibri"/>
                <w:color w:val="000000"/>
                <w:sz w:val="18"/>
                <w:szCs w:val="18"/>
                <w:lang w:val="cs-CZ"/>
              </w:rPr>
            </w:pPr>
            <w:r w:rsidRPr="0086332F">
              <w:rPr>
                <w:rFonts w:ascii="Calibri" w:hAnsi="Calibri" w:cs="Calibri"/>
                <w:color w:val="000000"/>
                <w:sz w:val="18"/>
                <w:szCs w:val="18"/>
                <w:lang w:val="cs-CZ"/>
              </w:rPr>
              <w:t>Dokumentace stávajícího stavu</w:t>
            </w:r>
          </w:p>
        </w:tc>
        <w:tc>
          <w:tcPr>
            <w:tcW w:w="156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2FC01547"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84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76FD1FD4"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500"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67BAFC74"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1477" w:type="dxa"/>
            <w:vMerge w:val="restart"/>
            <w:tcBorders>
              <w:top w:val="nil"/>
              <w:left w:val="dashed" w:sz="4" w:space="0" w:color="auto"/>
              <w:bottom w:val="single" w:sz="4" w:space="0" w:color="000000"/>
              <w:right w:val="dashed" w:sz="4" w:space="0" w:color="auto"/>
            </w:tcBorders>
            <w:shd w:val="clear" w:color="auto" w:fill="auto"/>
            <w:noWrap/>
            <w:vAlign w:val="bottom"/>
            <w:hideMark/>
          </w:tcPr>
          <w:p w14:paraId="0B73D279" w14:textId="77777777" w:rsidR="0086332F" w:rsidRPr="0086332F" w:rsidRDefault="0086332F" w:rsidP="0086332F">
            <w:pPr>
              <w:jc w:val="center"/>
              <w:rPr>
                <w:rFonts w:ascii="Calibri" w:hAnsi="Calibri" w:cs="Calibri"/>
                <w:color w:val="000000"/>
                <w:sz w:val="18"/>
                <w:szCs w:val="18"/>
                <w:lang w:val="cs-CZ"/>
              </w:rPr>
            </w:pPr>
            <w:r w:rsidRPr="0086332F">
              <w:rPr>
                <w:rFonts w:ascii="Calibri" w:hAnsi="Calibri" w:cs="Calibri"/>
                <w:color w:val="000000"/>
                <w:sz w:val="18"/>
                <w:szCs w:val="18"/>
                <w:lang w:val="cs-CZ"/>
              </w:rPr>
              <w:t> </w:t>
            </w:r>
          </w:p>
        </w:tc>
        <w:tc>
          <w:tcPr>
            <w:tcW w:w="2693" w:type="dxa"/>
            <w:vMerge/>
            <w:tcBorders>
              <w:top w:val="nil"/>
              <w:left w:val="dashed" w:sz="4" w:space="0" w:color="auto"/>
              <w:bottom w:val="single" w:sz="4" w:space="0" w:color="000000"/>
              <w:right w:val="single" w:sz="4" w:space="0" w:color="auto"/>
            </w:tcBorders>
            <w:vAlign w:val="center"/>
            <w:hideMark/>
          </w:tcPr>
          <w:p w14:paraId="755E27BF" w14:textId="77777777" w:rsidR="0086332F" w:rsidRPr="0086332F" w:rsidRDefault="0086332F" w:rsidP="0086332F">
            <w:pPr>
              <w:rPr>
                <w:rFonts w:ascii="Calibri" w:hAnsi="Calibri" w:cs="Calibri"/>
                <w:color w:val="000000"/>
                <w:sz w:val="18"/>
                <w:szCs w:val="18"/>
                <w:lang w:val="cs-CZ"/>
              </w:rPr>
            </w:pPr>
          </w:p>
        </w:tc>
      </w:tr>
      <w:tr w:rsidR="0086332F" w:rsidRPr="0086332F" w14:paraId="12B594F3" w14:textId="77777777" w:rsidTr="0086332F">
        <w:trPr>
          <w:trHeight w:val="300"/>
        </w:trPr>
        <w:tc>
          <w:tcPr>
            <w:tcW w:w="6100" w:type="dxa"/>
            <w:tcBorders>
              <w:top w:val="nil"/>
              <w:left w:val="single" w:sz="4" w:space="0" w:color="auto"/>
              <w:bottom w:val="single" w:sz="4" w:space="0" w:color="auto"/>
              <w:right w:val="dashed" w:sz="4" w:space="0" w:color="auto"/>
            </w:tcBorders>
            <w:shd w:val="clear" w:color="auto" w:fill="auto"/>
            <w:noWrap/>
            <w:vAlign w:val="bottom"/>
            <w:hideMark/>
          </w:tcPr>
          <w:p w14:paraId="694917F6" w14:textId="1EB53FB4" w:rsidR="0086332F" w:rsidRPr="0086332F" w:rsidRDefault="0086332F" w:rsidP="0086332F">
            <w:pPr>
              <w:rPr>
                <w:rFonts w:ascii="Calibri" w:hAnsi="Calibri" w:cs="Calibri"/>
                <w:color w:val="000000"/>
                <w:sz w:val="18"/>
                <w:szCs w:val="18"/>
                <w:lang w:val="cs-CZ"/>
              </w:rPr>
            </w:pPr>
          </w:p>
        </w:tc>
        <w:tc>
          <w:tcPr>
            <w:tcW w:w="1560" w:type="dxa"/>
            <w:vMerge/>
            <w:tcBorders>
              <w:top w:val="nil"/>
              <w:left w:val="dashed" w:sz="4" w:space="0" w:color="auto"/>
              <w:bottom w:val="single" w:sz="4" w:space="0" w:color="000000"/>
              <w:right w:val="dashed" w:sz="4" w:space="0" w:color="auto"/>
            </w:tcBorders>
            <w:vAlign w:val="center"/>
            <w:hideMark/>
          </w:tcPr>
          <w:p w14:paraId="34293726" w14:textId="77777777" w:rsidR="0086332F" w:rsidRPr="0086332F" w:rsidRDefault="0086332F" w:rsidP="0086332F">
            <w:pPr>
              <w:rPr>
                <w:rFonts w:ascii="Calibri" w:hAnsi="Calibri" w:cs="Calibri"/>
                <w:color w:val="000000"/>
                <w:sz w:val="18"/>
                <w:szCs w:val="18"/>
                <w:lang w:val="cs-CZ"/>
              </w:rPr>
            </w:pPr>
          </w:p>
        </w:tc>
        <w:tc>
          <w:tcPr>
            <w:tcW w:w="840" w:type="dxa"/>
            <w:vMerge/>
            <w:tcBorders>
              <w:top w:val="nil"/>
              <w:left w:val="dashed" w:sz="4" w:space="0" w:color="auto"/>
              <w:bottom w:val="single" w:sz="4" w:space="0" w:color="000000"/>
              <w:right w:val="dashed" w:sz="4" w:space="0" w:color="auto"/>
            </w:tcBorders>
            <w:vAlign w:val="center"/>
            <w:hideMark/>
          </w:tcPr>
          <w:p w14:paraId="2C356D2B" w14:textId="77777777" w:rsidR="0086332F" w:rsidRPr="0086332F" w:rsidRDefault="0086332F" w:rsidP="0086332F">
            <w:pPr>
              <w:rPr>
                <w:rFonts w:ascii="Calibri" w:hAnsi="Calibri" w:cs="Calibri"/>
                <w:color w:val="000000"/>
                <w:sz w:val="18"/>
                <w:szCs w:val="18"/>
                <w:lang w:val="cs-CZ"/>
              </w:rPr>
            </w:pPr>
          </w:p>
        </w:tc>
        <w:tc>
          <w:tcPr>
            <w:tcW w:w="1500" w:type="dxa"/>
            <w:vMerge/>
            <w:tcBorders>
              <w:top w:val="nil"/>
              <w:left w:val="dashed" w:sz="4" w:space="0" w:color="auto"/>
              <w:bottom w:val="single" w:sz="4" w:space="0" w:color="000000"/>
              <w:right w:val="dashed" w:sz="4" w:space="0" w:color="auto"/>
            </w:tcBorders>
            <w:vAlign w:val="center"/>
            <w:hideMark/>
          </w:tcPr>
          <w:p w14:paraId="18A9E596" w14:textId="77777777" w:rsidR="0086332F" w:rsidRPr="0086332F" w:rsidRDefault="0086332F" w:rsidP="0086332F">
            <w:pPr>
              <w:rPr>
                <w:rFonts w:ascii="Calibri" w:hAnsi="Calibri" w:cs="Calibri"/>
                <w:color w:val="000000"/>
                <w:sz w:val="18"/>
                <w:szCs w:val="18"/>
                <w:lang w:val="cs-CZ"/>
              </w:rPr>
            </w:pPr>
          </w:p>
        </w:tc>
        <w:tc>
          <w:tcPr>
            <w:tcW w:w="1477" w:type="dxa"/>
            <w:vMerge/>
            <w:tcBorders>
              <w:top w:val="nil"/>
              <w:left w:val="dashed" w:sz="4" w:space="0" w:color="auto"/>
              <w:bottom w:val="single" w:sz="4" w:space="0" w:color="000000"/>
              <w:right w:val="dashed" w:sz="4" w:space="0" w:color="auto"/>
            </w:tcBorders>
            <w:vAlign w:val="center"/>
            <w:hideMark/>
          </w:tcPr>
          <w:p w14:paraId="48D97299" w14:textId="77777777" w:rsidR="0086332F" w:rsidRPr="0086332F" w:rsidRDefault="0086332F" w:rsidP="0086332F">
            <w:pPr>
              <w:rPr>
                <w:rFonts w:ascii="Calibri" w:hAnsi="Calibri" w:cs="Calibri"/>
                <w:color w:val="000000"/>
                <w:sz w:val="18"/>
                <w:szCs w:val="18"/>
                <w:lang w:val="cs-CZ"/>
              </w:rPr>
            </w:pPr>
          </w:p>
        </w:tc>
        <w:tc>
          <w:tcPr>
            <w:tcW w:w="2693" w:type="dxa"/>
            <w:vMerge/>
            <w:tcBorders>
              <w:top w:val="nil"/>
              <w:left w:val="dashed" w:sz="4" w:space="0" w:color="auto"/>
              <w:bottom w:val="single" w:sz="4" w:space="0" w:color="000000"/>
              <w:right w:val="single" w:sz="4" w:space="0" w:color="auto"/>
            </w:tcBorders>
            <w:vAlign w:val="center"/>
            <w:hideMark/>
          </w:tcPr>
          <w:p w14:paraId="590E3FE2" w14:textId="77777777" w:rsidR="0086332F" w:rsidRPr="0086332F" w:rsidRDefault="0086332F" w:rsidP="0086332F">
            <w:pPr>
              <w:rPr>
                <w:rFonts w:ascii="Calibri" w:hAnsi="Calibri" w:cs="Calibri"/>
                <w:color w:val="000000"/>
                <w:sz w:val="18"/>
                <w:szCs w:val="18"/>
                <w:lang w:val="cs-CZ"/>
              </w:rPr>
            </w:pPr>
          </w:p>
        </w:tc>
      </w:tr>
    </w:tbl>
    <w:p w14:paraId="54F6C27A" w14:textId="77777777" w:rsidR="00AB5F7A" w:rsidRPr="000616BA" w:rsidRDefault="00AB5F7A" w:rsidP="002D6E18">
      <w:pPr>
        <w:jc w:val="center"/>
        <w:rPr>
          <w:rFonts w:ascii="Arial" w:hAnsi="Arial" w:cs="Arial"/>
          <w:sz w:val="20"/>
          <w:szCs w:val="20"/>
          <w:lang w:val="en-US"/>
        </w:rPr>
      </w:pPr>
    </w:p>
    <w:sectPr w:rsidR="00AB5F7A" w:rsidRPr="000616BA" w:rsidSect="00534158">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83ED3" w14:textId="77777777" w:rsidR="00F03674" w:rsidRDefault="00F03674" w:rsidP="00AC02E7">
      <w:r>
        <w:separator/>
      </w:r>
    </w:p>
  </w:endnote>
  <w:endnote w:type="continuationSeparator" w:id="0">
    <w:p w14:paraId="48762F5C" w14:textId="77777777" w:rsidR="00F03674" w:rsidRDefault="00F03674" w:rsidP="00AC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04A54" w14:textId="77777777" w:rsidR="00F03674" w:rsidRDefault="00F03674" w:rsidP="00AC02E7">
      <w:r>
        <w:separator/>
      </w:r>
    </w:p>
  </w:footnote>
  <w:footnote w:type="continuationSeparator" w:id="0">
    <w:p w14:paraId="5604E078" w14:textId="77777777" w:rsidR="00F03674" w:rsidRDefault="00F03674" w:rsidP="00AC0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F598A" w14:textId="3ACAAD57" w:rsidR="00AC02E7" w:rsidRPr="00CE0C99" w:rsidRDefault="00AC02E7" w:rsidP="00AC02E7">
    <w:pPr>
      <w:pStyle w:val="Zpat"/>
      <w:jc w:val="right"/>
      <w:rPr>
        <w:rFonts w:ascii="Calibri" w:hAnsi="Calibri" w:cs="Calibri"/>
        <w:sz w:val="20"/>
        <w:szCs w:val="20"/>
      </w:rPr>
    </w:pPr>
    <w:r w:rsidRPr="00CE0C99">
      <w:rPr>
        <w:rFonts w:ascii="Calibri" w:hAnsi="Calibri" w:cs="Calibri"/>
        <w:sz w:val="20"/>
        <w:szCs w:val="20"/>
      </w:rPr>
      <w:t xml:space="preserve">Příloha č. </w:t>
    </w:r>
    <w:r w:rsidR="00665BE2">
      <w:rPr>
        <w:rFonts w:ascii="Calibri" w:hAnsi="Calibri" w:cs="Calibri"/>
        <w:sz w:val="20"/>
        <w:szCs w:val="20"/>
      </w:rPr>
      <w:t>6</w:t>
    </w:r>
    <w:r w:rsidRPr="00CE0C99">
      <w:rPr>
        <w:rFonts w:ascii="Calibri" w:hAnsi="Calibri" w:cs="Calibri"/>
        <w:sz w:val="20"/>
        <w:szCs w:val="20"/>
      </w:rPr>
      <w:t xml:space="preserve"> – </w:t>
    </w:r>
    <w:r>
      <w:rPr>
        <w:rFonts w:ascii="Calibri" w:hAnsi="Calibri" w:cs="Calibri"/>
        <w:sz w:val="20"/>
        <w:szCs w:val="20"/>
      </w:rPr>
      <w:t>Časový a finanční hamonogram a položkový rozpočet</w:t>
    </w:r>
  </w:p>
  <w:p w14:paraId="72D8E25A" w14:textId="77777777" w:rsidR="00AC02E7" w:rsidRDefault="00AC02E7" w:rsidP="00AC02E7">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7345EE"/>
    <w:multiLevelType w:val="hybridMultilevel"/>
    <w:tmpl w:val="EB84D1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E18"/>
    <w:rsid w:val="00020D85"/>
    <w:rsid w:val="000616BA"/>
    <w:rsid w:val="00084801"/>
    <w:rsid w:val="00094936"/>
    <w:rsid w:val="00096528"/>
    <w:rsid w:val="000B66BD"/>
    <w:rsid w:val="00120BD9"/>
    <w:rsid w:val="001877A3"/>
    <w:rsid w:val="001B3C07"/>
    <w:rsid w:val="00223DC4"/>
    <w:rsid w:val="00244F9F"/>
    <w:rsid w:val="00262888"/>
    <w:rsid w:val="00267F37"/>
    <w:rsid w:val="002D6E18"/>
    <w:rsid w:val="00303B96"/>
    <w:rsid w:val="003B6ABF"/>
    <w:rsid w:val="003C0700"/>
    <w:rsid w:val="00482A81"/>
    <w:rsid w:val="00490656"/>
    <w:rsid w:val="004A2AE0"/>
    <w:rsid w:val="004F453F"/>
    <w:rsid w:val="00534158"/>
    <w:rsid w:val="00565C66"/>
    <w:rsid w:val="00640DBF"/>
    <w:rsid w:val="0066056D"/>
    <w:rsid w:val="00665BE2"/>
    <w:rsid w:val="006766DA"/>
    <w:rsid w:val="00680842"/>
    <w:rsid w:val="006C2624"/>
    <w:rsid w:val="006D4171"/>
    <w:rsid w:val="007A26BE"/>
    <w:rsid w:val="007A46B6"/>
    <w:rsid w:val="007C4864"/>
    <w:rsid w:val="0082068B"/>
    <w:rsid w:val="0086332F"/>
    <w:rsid w:val="0091128C"/>
    <w:rsid w:val="009D6095"/>
    <w:rsid w:val="00A55B6E"/>
    <w:rsid w:val="00A9616E"/>
    <w:rsid w:val="00AA7EA7"/>
    <w:rsid w:val="00AB3A49"/>
    <w:rsid w:val="00AB5F7A"/>
    <w:rsid w:val="00AC02E7"/>
    <w:rsid w:val="00AC2B23"/>
    <w:rsid w:val="00AD0C0D"/>
    <w:rsid w:val="00AD76E9"/>
    <w:rsid w:val="00B50B3C"/>
    <w:rsid w:val="00BD12F1"/>
    <w:rsid w:val="00BF1416"/>
    <w:rsid w:val="00C053FB"/>
    <w:rsid w:val="00C75BC8"/>
    <w:rsid w:val="00C839DB"/>
    <w:rsid w:val="00CD0637"/>
    <w:rsid w:val="00D32358"/>
    <w:rsid w:val="00D67883"/>
    <w:rsid w:val="00E37698"/>
    <w:rsid w:val="00E463BE"/>
    <w:rsid w:val="00E96A37"/>
    <w:rsid w:val="00EB15E0"/>
    <w:rsid w:val="00EF5080"/>
    <w:rsid w:val="00F03674"/>
    <w:rsid w:val="00F261C2"/>
    <w:rsid w:val="00FA0D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F6C249"/>
  <w15:docId w15:val="{C40EB1C4-4C58-4CD0-92AA-7CCF5EB5D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D6E18"/>
    <w:rPr>
      <w:rFonts w:ascii="Times New Roman" w:eastAsia="Times New Roman" w:hAnsi="Times New Roman"/>
      <w:sz w:val="24"/>
      <w:szCs w:val="24"/>
      <w:lang w:val="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75BC8"/>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imes New Roman" w:hAnsi="Times New Roman" w:cs="Times New Roman"/>
      <w:sz w:val="2"/>
      <w:lang w:val="fr-FR"/>
    </w:rPr>
  </w:style>
  <w:style w:type="paragraph" w:styleId="Prosttext">
    <w:name w:val="Plain Text"/>
    <w:aliases w:val="Char Char7 Char Char,Char Char7 Char Char Char Char Char Char Char Char Char Char Char Char,Char7 Char Char Char Char Char Char Char Char Char Char Char Char Char, Char Char7 Char Char,Char"/>
    <w:basedOn w:val="Normln"/>
    <w:link w:val="ProsttextChar"/>
    <w:rsid w:val="00EB15E0"/>
    <w:rPr>
      <w:rFonts w:ascii="Courier New" w:hAnsi="Courier New"/>
      <w:sz w:val="20"/>
      <w:szCs w:val="20"/>
      <w:lang w:eastAsia="en-US"/>
    </w:rPr>
  </w:style>
  <w:style w:type="character" w:customStyle="1" w:styleId="ProsttextChar">
    <w:name w:val="Prostý text Char"/>
    <w:aliases w:val="Char Char7 Char Char Char,Char Char7 Char Char Char Char Char Char Char Char Char Char Char Char Char,Char7 Char Char Char Char Char Char Char Char Char Char Char Char Char Char, Char Char7 Char Char Char,Char Char"/>
    <w:basedOn w:val="Standardnpsmoodstavce"/>
    <w:link w:val="Prosttext"/>
    <w:rsid w:val="00EB15E0"/>
    <w:rPr>
      <w:rFonts w:ascii="Courier New" w:eastAsia="Times New Roman" w:hAnsi="Courier New"/>
      <w:sz w:val="20"/>
      <w:szCs w:val="20"/>
      <w:lang w:val="fr-FR" w:eastAsia="en-US"/>
    </w:rPr>
  </w:style>
  <w:style w:type="character" w:styleId="Odkaznakoment">
    <w:name w:val="annotation reference"/>
    <w:uiPriority w:val="99"/>
    <w:semiHidden/>
    <w:rsid w:val="00EB15E0"/>
    <w:rPr>
      <w:rFonts w:cs="Times New Roman"/>
      <w:sz w:val="16"/>
    </w:rPr>
  </w:style>
  <w:style w:type="paragraph" w:styleId="Textkomente">
    <w:name w:val="annotation text"/>
    <w:basedOn w:val="Normln"/>
    <w:link w:val="TextkomenteChar"/>
    <w:uiPriority w:val="99"/>
    <w:semiHidden/>
    <w:rsid w:val="00EB15E0"/>
    <w:rPr>
      <w:sz w:val="20"/>
      <w:szCs w:val="20"/>
      <w:lang w:eastAsia="en-US"/>
    </w:rPr>
  </w:style>
  <w:style w:type="character" w:customStyle="1" w:styleId="TextkomenteChar">
    <w:name w:val="Text komentáře Char"/>
    <w:basedOn w:val="Standardnpsmoodstavce"/>
    <w:link w:val="Textkomente"/>
    <w:uiPriority w:val="99"/>
    <w:semiHidden/>
    <w:rsid w:val="00EB15E0"/>
    <w:rPr>
      <w:rFonts w:ascii="Times New Roman" w:eastAsia="Times New Roman" w:hAnsi="Times New Roman"/>
      <w:sz w:val="20"/>
      <w:szCs w:val="20"/>
      <w:lang w:val="fr-FR" w:eastAsia="en-US"/>
    </w:rPr>
  </w:style>
  <w:style w:type="paragraph" w:styleId="Zhlav">
    <w:name w:val="header"/>
    <w:basedOn w:val="Normln"/>
    <w:link w:val="ZhlavChar"/>
    <w:uiPriority w:val="99"/>
    <w:unhideWhenUsed/>
    <w:rsid w:val="00AC02E7"/>
    <w:pPr>
      <w:tabs>
        <w:tab w:val="center" w:pos="4536"/>
        <w:tab w:val="right" w:pos="9072"/>
      </w:tabs>
    </w:pPr>
  </w:style>
  <w:style w:type="character" w:customStyle="1" w:styleId="ZhlavChar">
    <w:name w:val="Záhlaví Char"/>
    <w:basedOn w:val="Standardnpsmoodstavce"/>
    <w:link w:val="Zhlav"/>
    <w:uiPriority w:val="99"/>
    <w:rsid w:val="00AC02E7"/>
    <w:rPr>
      <w:rFonts w:ascii="Times New Roman" w:eastAsia="Times New Roman" w:hAnsi="Times New Roman"/>
      <w:sz w:val="24"/>
      <w:szCs w:val="24"/>
      <w:lang w:val="fr-FR"/>
    </w:rPr>
  </w:style>
  <w:style w:type="paragraph" w:styleId="Zpat">
    <w:name w:val="footer"/>
    <w:basedOn w:val="Normln"/>
    <w:link w:val="ZpatChar"/>
    <w:unhideWhenUsed/>
    <w:rsid w:val="00AC02E7"/>
    <w:pPr>
      <w:tabs>
        <w:tab w:val="center" w:pos="4536"/>
        <w:tab w:val="right" w:pos="9072"/>
      </w:tabs>
    </w:pPr>
  </w:style>
  <w:style w:type="character" w:customStyle="1" w:styleId="ZpatChar">
    <w:name w:val="Zápatí Char"/>
    <w:basedOn w:val="Standardnpsmoodstavce"/>
    <w:link w:val="Zpat"/>
    <w:rsid w:val="00AC02E7"/>
    <w:rPr>
      <w:rFonts w:ascii="Times New Roman" w:eastAsia="Times New Roman" w:hAnsi="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842533">
      <w:bodyDiv w:val="1"/>
      <w:marLeft w:val="0"/>
      <w:marRight w:val="0"/>
      <w:marTop w:val="0"/>
      <w:marBottom w:val="0"/>
      <w:divBdr>
        <w:top w:val="none" w:sz="0" w:space="0" w:color="auto"/>
        <w:left w:val="none" w:sz="0" w:space="0" w:color="auto"/>
        <w:bottom w:val="none" w:sz="0" w:space="0" w:color="auto"/>
        <w:right w:val="none" w:sz="0" w:space="0" w:color="auto"/>
      </w:divBdr>
    </w:div>
    <w:div w:id="607394108">
      <w:bodyDiv w:val="1"/>
      <w:marLeft w:val="0"/>
      <w:marRight w:val="0"/>
      <w:marTop w:val="0"/>
      <w:marBottom w:val="0"/>
      <w:divBdr>
        <w:top w:val="none" w:sz="0" w:space="0" w:color="auto"/>
        <w:left w:val="none" w:sz="0" w:space="0" w:color="auto"/>
        <w:bottom w:val="none" w:sz="0" w:space="0" w:color="auto"/>
        <w:right w:val="none" w:sz="0" w:space="0" w:color="auto"/>
      </w:divBdr>
    </w:div>
    <w:div w:id="829443607">
      <w:bodyDiv w:val="1"/>
      <w:marLeft w:val="0"/>
      <w:marRight w:val="0"/>
      <w:marTop w:val="0"/>
      <w:marBottom w:val="0"/>
      <w:divBdr>
        <w:top w:val="none" w:sz="0" w:space="0" w:color="auto"/>
        <w:left w:val="none" w:sz="0" w:space="0" w:color="auto"/>
        <w:bottom w:val="none" w:sz="0" w:space="0" w:color="auto"/>
        <w:right w:val="none" w:sz="0" w:space="0" w:color="auto"/>
      </w:divBdr>
    </w:div>
    <w:div w:id="1528640375">
      <w:bodyDiv w:val="1"/>
      <w:marLeft w:val="0"/>
      <w:marRight w:val="0"/>
      <w:marTop w:val="0"/>
      <w:marBottom w:val="0"/>
      <w:divBdr>
        <w:top w:val="none" w:sz="0" w:space="0" w:color="auto"/>
        <w:left w:val="none" w:sz="0" w:space="0" w:color="auto"/>
        <w:bottom w:val="none" w:sz="0" w:space="0" w:color="auto"/>
        <w:right w:val="none" w:sz="0" w:space="0" w:color="auto"/>
      </w:divBdr>
    </w:div>
    <w:div w:id="159620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217</Words>
  <Characters>1285</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Ptoszek, Lukas</dc:creator>
  <cp:lastModifiedBy>Josef Alexander Matera</cp:lastModifiedBy>
  <cp:revision>16</cp:revision>
  <dcterms:created xsi:type="dcterms:W3CDTF">2019-03-06T08:53:00Z</dcterms:created>
  <dcterms:modified xsi:type="dcterms:W3CDTF">2019-03-19T12:06:00Z</dcterms:modified>
</cp:coreProperties>
</file>